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6FF" w:rsidRDefault="001055A3" w:rsidP="00F64A77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1B7BD0">
        <w:rPr>
          <w:rFonts w:ascii="Arial" w:hAnsi="Arial" w:cs="Arial"/>
          <w:b/>
          <w:bCs/>
          <w:noProof/>
          <w:color w:val="0070C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07A3EA49" wp14:editId="365FA313">
            <wp:simplePos x="0" y="0"/>
            <wp:positionH relativeFrom="column">
              <wp:posOffset>-153670</wp:posOffset>
            </wp:positionH>
            <wp:positionV relativeFrom="paragraph">
              <wp:posOffset>0</wp:posOffset>
            </wp:positionV>
            <wp:extent cx="2963610" cy="4191635"/>
            <wp:effectExtent l="0" t="0" r="8255" b="0"/>
            <wp:wrapThrough wrapText="bothSides">
              <wp:wrapPolygon edited="0">
                <wp:start x="0" y="0"/>
                <wp:lineTo x="0" y="21499"/>
                <wp:lineTo x="21521" y="21499"/>
                <wp:lineTo x="21521" y="0"/>
                <wp:lineTo x="0" y="0"/>
              </wp:wrapPolygon>
            </wp:wrapThrough>
            <wp:docPr id="1" name="Рисунок 1" descr="D:\domnina\stol\КОРРУПЦИЯ\памятк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mnina\stol\КОРРУПЦИЯ\памятки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610" cy="419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A54" w:rsidRPr="001B7BD0">
        <w:rPr>
          <w:rFonts w:ascii="Arial" w:hAnsi="Arial" w:cs="Arial"/>
          <w:b/>
          <w:bCs/>
          <w:color w:val="0070C0"/>
          <w:sz w:val="28"/>
          <w:szCs w:val="28"/>
          <w:shd w:val="clear" w:color="auto" w:fill="FFFFFF"/>
        </w:rPr>
        <w:t>В</w:t>
      </w:r>
      <w:r w:rsidR="001B7BD0" w:rsidRPr="001B7BD0">
        <w:rPr>
          <w:rFonts w:ascii="Arial" w:hAnsi="Arial" w:cs="Arial"/>
          <w:b/>
          <w:bCs/>
          <w:color w:val="0070C0"/>
          <w:sz w:val="28"/>
          <w:szCs w:val="28"/>
          <w:shd w:val="clear" w:color="auto" w:fill="FFFFFF"/>
        </w:rPr>
        <w:t>зятка</w:t>
      </w:r>
      <w:r w:rsidR="00F64A77" w:rsidRPr="00F64A77">
        <w:rPr>
          <w:rFonts w:ascii="Arial" w:hAnsi="Arial" w:cs="Arial"/>
          <w:sz w:val="21"/>
          <w:szCs w:val="21"/>
          <w:shd w:val="clear" w:color="auto" w:fill="FFFFFF"/>
        </w:rPr>
        <w:t> — принимаемые </w:t>
      </w:r>
      <w:hyperlink r:id="rId6" w:tooltip="Должностное лицо" w:history="1">
        <w:r w:rsidR="00F64A77" w:rsidRPr="00F64A77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должностным лицом</w:t>
        </w:r>
      </w:hyperlink>
      <w:r w:rsidR="00F64A77" w:rsidRPr="00F64A77">
        <w:rPr>
          <w:rFonts w:ascii="Arial" w:hAnsi="Arial" w:cs="Arial"/>
          <w:sz w:val="21"/>
          <w:szCs w:val="21"/>
          <w:shd w:val="clear" w:color="auto" w:fill="FFFFFF"/>
        </w:rPr>
        <w:t> (</w:t>
      </w:r>
      <w:proofErr w:type="spellStart"/>
      <w:r w:rsidR="00F64A77" w:rsidRPr="00F64A77">
        <w:rPr>
          <w:rFonts w:ascii="Arial" w:hAnsi="Arial" w:cs="Arial"/>
          <w:b/>
          <w:bCs/>
          <w:sz w:val="21"/>
          <w:szCs w:val="21"/>
          <w:shd w:val="clear" w:color="auto" w:fill="FFFFFF"/>
        </w:rPr>
        <w:t>взя́точник</w:t>
      </w:r>
      <w:proofErr w:type="spellEnd"/>
      <w:r w:rsidR="00F64A77" w:rsidRPr="00F64A77">
        <w:rPr>
          <w:rFonts w:ascii="Arial" w:hAnsi="Arial" w:cs="Arial"/>
          <w:sz w:val="21"/>
          <w:szCs w:val="21"/>
          <w:shd w:val="clear" w:color="auto" w:fill="FFFFFF"/>
        </w:rPr>
        <w:t>) материальные ценности (предметы, </w:t>
      </w:r>
      <w:hyperlink r:id="rId7" w:tooltip="Деньги" w:history="1">
        <w:r w:rsidR="00F64A77" w:rsidRPr="00F64A77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деньги</w:t>
        </w:r>
      </w:hyperlink>
      <w:r w:rsidR="00F64A77" w:rsidRPr="00F64A77">
        <w:rPr>
          <w:rFonts w:ascii="Arial" w:hAnsi="Arial" w:cs="Arial"/>
          <w:sz w:val="21"/>
          <w:szCs w:val="21"/>
          <w:shd w:val="clear" w:color="auto" w:fill="FFFFFF"/>
        </w:rPr>
        <w:t>, </w:t>
      </w:r>
      <w:hyperlink r:id="rId8" w:tooltip="Услуга" w:history="1">
        <w:r w:rsidR="00F64A77" w:rsidRPr="00F64A77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услуги</w:t>
        </w:r>
      </w:hyperlink>
      <w:r w:rsidR="00F64A77" w:rsidRPr="00F64A77">
        <w:rPr>
          <w:rFonts w:ascii="Arial" w:hAnsi="Arial" w:cs="Arial"/>
          <w:sz w:val="21"/>
          <w:szCs w:val="21"/>
          <w:shd w:val="clear" w:color="auto" w:fill="FFFFFF"/>
        </w:rPr>
        <w:t>, иная имущественная выгода) за действия либо бездействие в интересах </w:t>
      </w:r>
      <w:proofErr w:type="spellStart"/>
      <w:r w:rsidR="00F64A77" w:rsidRPr="00F64A77">
        <w:rPr>
          <w:rFonts w:ascii="Arial" w:hAnsi="Arial" w:cs="Arial"/>
          <w:b/>
          <w:bCs/>
          <w:sz w:val="21"/>
          <w:szCs w:val="21"/>
          <w:shd w:val="clear" w:color="auto" w:fill="FFFFFF"/>
        </w:rPr>
        <w:t>взяткода́теля</w:t>
      </w:r>
      <w:proofErr w:type="spellEnd"/>
      <w:r w:rsidR="00F64A77" w:rsidRPr="00F64A77">
        <w:rPr>
          <w:rFonts w:ascii="Arial" w:hAnsi="Arial" w:cs="Arial"/>
          <w:sz w:val="21"/>
          <w:szCs w:val="21"/>
          <w:shd w:val="clear" w:color="auto" w:fill="FFFFFF"/>
        </w:rPr>
        <w:t>, которые должностное лицо имеет право либо обязано совершить, с целью ускорить решение вопроса или решить его в положительном ключе, либо за совершение незаконных действий, то есть действий или бездействия, которые это лицо не может или не должно совершить в силу закона или своего служебного положения</w:t>
      </w:r>
    </w:p>
    <w:p w:rsidR="00F64A77" w:rsidRPr="00F64A77" w:rsidRDefault="00F64A77" w:rsidP="00F64A7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29"/>
          <w:szCs w:val="29"/>
          <w:lang w:eastAsia="ru-RU"/>
        </w:rPr>
      </w:pPr>
      <w:proofErr w:type="gramStart"/>
      <w:r w:rsidRPr="001B7BD0">
        <w:rPr>
          <w:rFonts w:ascii="Arial" w:eastAsia="Times New Roman" w:hAnsi="Arial" w:cs="Arial"/>
          <w:b/>
          <w:bCs/>
          <w:color w:val="0070C0"/>
          <w:sz w:val="29"/>
          <w:szCs w:val="29"/>
          <w:lang w:eastAsia="ru-RU"/>
        </w:rPr>
        <w:t>История</w:t>
      </w:r>
      <w:r w:rsidRPr="001B7BD0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[</w:t>
      </w:r>
      <w:proofErr w:type="gramEnd"/>
    </w:p>
    <w:p w:rsidR="00F64A77" w:rsidRPr="00F64A77" w:rsidRDefault="00F64A77" w:rsidP="00F66A5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64A77">
        <w:rPr>
          <w:rFonts w:ascii="Arial" w:eastAsia="Times New Roman" w:hAnsi="Arial" w:cs="Arial"/>
          <w:sz w:val="21"/>
          <w:szCs w:val="21"/>
          <w:lang w:eastAsia="ru-RU"/>
        </w:rPr>
        <w:t>В </w:t>
      </w:r>
      <w:hyperlink r:id="rId9" w:tooltip="Русское царство" w:history="1">
        <w:r w:rsidRPr="001B7BD0">
          <w:rPr>
            <w:rFonts w:ascii="Arial" w:eastAsia="Times New Roman" w:hAnsi="Arial" w:cs="Arial"/>
            <w:sz w:val="21"/>
            <w:szCs w:val="21"/>
            <w:lang w:eastAsia="ru-RU"/>
          </w:rPr>
          <w:t>Московском государстве</w:t>
        </w:r>
      </w:hyperlink>
      <w:r w:rsidRPr="00F64A77">
        <w:rPr>
          <w:rFonts w:ascii="Arial" w:eastAsia="Times New Roman" w:hAnsi="Arial" w:cs="Arial"/>
          <w:sz w:val="21"/>
          <w:szCs w:val="21"/>
          <w:lang w:eastAsia="ru-RU"/>
        </w:rPr>
        <w:t> XVI—XVII вв. существовал запрет только на </w:t>
      </w:r>
      <w:hyperlink r:id="rId10" w:tooltip="Посул" w:history="1">
        <w:r w:rsidRPr="001B7BD0">
          <w:rPr>
            <w:rFonts w:ascii="Arial" w:eastAsia="Times New Roman" w:hAnsi="Arial" w:cs="Arial"/>
            <w:sz w:val="21"/>
            <w:szCs w:val="21"/>
            <w:lang w:eastAsia="ru-RU"/>
          </w:rPr>
          <w:t>посулы</w:t>
        </w:r>
      </w:hyperlink>
      <w:r w:rsidRPr="00F64A77">
        <w:rPr>
          <w:rFonts w:ascii="Arial" w:eastAsia="Times New Roman" w:hAnsi="Arial" w:cs="Arial"/>
          <w:sz w:val="21"/>
          <w:szCs w:val="21"/>
          <w:lang w:eastAsia="ru-RU"/>
        </w:rPr>
        <w:t> — взятки судьям. Все иные «</w:t>
      </w:r>
      <w:hyperlink r:id="rId11" w:tooltip="Государевы люди" w:history="1">
        <w:r w:rsidRPr="001B7BD0">
          <w:rPr>
            <w:rFonts w:ascii="Arial" w:eastAsia="Times New Roman" w:hAnsi="Arial" w:cs="Arial"/>
            <w:sz w:val="21"/>
            <w:szCs w:val="21"/>
            <w:lang w:eastAsia="ru-RU"/>
          </w:rPr>
          <w:t>государевы люди</w:t>
        </w:r>
      </w:hyperlink>
      <w:r w:rsidRPr="00F64A77">
        <w:rPr>
          <w:rFonts w:ascii="Arial" w:eastAsia="Times New Roman" w:hAnsi="Arial" w:cs="Arial"/>
          <w:sz w:val="21"/>
          <w:szCs w:val="21"/>
          <w:lang w:eastAsia="ru-RU"/>
        </w:rPr>
        <w:t xml:space="preserve">» на местах (равно как и белое духовенство) не получали жалования и кормились только за счёт того, что им приносили </w:t>
      </w:r>
      <w:proofErr w:type="spellStart"/>
      <w:r w:rsidRPr="00F64A77">
        <w:rPr>
          <w:rFonts w:ascii="Arial" w:eastAsia="Times New Roman" w:hAnsi="Arial" w:cs="Arial"/>
          <w:sz w:val="21"/>
          <w:szCs w:val="21"/>
          <w:lang w:eastAsia="ru-RU"/>
        </w:rPr>
        <w:t>челобитники</w:t>
      </w:r>
      <w:proofErr w:type="spellEnd"/>
      <w:r w:rsidRPr="00F64A77">
        <w:rPr>
          <w:rFonts w:ascii="Arial" w:eastAsia="Times New Roman" w:hAnsi="Arial" w:cs="Arial"/>
          <w:sz w:val="21"/>
          <w:szCs w:val="21"/>
          <w:lang w:eastAsia="ru-RU"/>
        </w:rPr>
        <w:t xml:space="preserve"> (в случае духовенства — паства). Взятки также были узаконены в большинстве стран Востока. Например, в </w:t>
      </w:r>
      <w:hyperlink r:id="rId12" w:tooltip="Османская империя" w:history="1">
        <w:r w:rsidRPr="001B7BD0">
          <w:rPr>
            <w:rFonts w:ascii="Arial" w:eastAsia="Times New Roman" w:hAnsi="Arial" w:cs="Arial"/>
            <w:sz w:val="21"/>
            <w:szCs w:val="21"/>
            <w:lang w:eastAsia="ru-RU"/>
          </w:rPr>
          <w:t>Османской империи</w:t>
        </w:r>
      </w:hyperlink>
      <w:r w:rsidRPr="00F64A77">
        <w:rPr>
          <w:rFonts w:ascii="Arial" w:eastAsia="Times New Roman" w:hAnsi="Arial" w:cs="Arial"/>
          <w:sz w:val="21"/>
          <w:szCs w:val="21"/>
          <w:lang w:eastAsia="ru-RU"/>
        </w:rPr>
        <w:t> они просто облагались особым </w:t>
      </w:r>
      <w:hyperlink r:id="rId13" w:tooltip="Налог" w:history="1">
        <w:r w:rsidRPr="001B7BD0">
          <w:rPr>
            <w:rFonts w:ascii="Arial" w:eastAsia="Times New Roman" w:hAnsi="Arial" w:cs="Arial"/>
            <w:sz w:val="21"/>
            <w:szCs w:val="21"/>
            <w:lang w:eastAsia="ru-RU"/>
          </w:rPr>
          <w:t>налогом</w:t>
        </w:r>
      </w:hyperlink>
      <w:r w:rsidRPr="00F64A77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F64A77" w:rsidRPr="00F64A77" w:rsidRDefault="000A694B" w:rsidP="00F66A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14" w:tooltip="Пётр I" w:history="1">
        <w:r w:rsidR="00F64A77" w:rsidRPr="001B7BD0">
          <w:rPr>
            <w:rFonts w:ascii="Arial" w:eastAsia="Times New Roman" w:hAnsi="Arial" w:cs="Arial"/>
            <w:sz w:val="21"/>
            <w:szCs w:val="21"/>
            <w:lang w:eastAsia="ru-RU"/>
          </w:rPr>
          <w:t>Пётр I</w:t>
        </w:r>
      </w:hyperlink>
      <w:r w:rsidR="00F64A77" w:rsidRPr="00F64A77">
        <w:rPr>
          <w:rFonts w:ascii="Arial" w:eastAsia="Times New Roman" w:hAnsi="Arial" w:cs="Arial"/>
          <w:sz w:val="21"/>
          <w:szCs w:val="21"/>
          <w:lang w:eastAsia="ru-RU"/>
        </w:rPr>
        <w:t> повёл войну с взяточниками, однако уже в 1726 году из-за отсутствия в казне денег </w:t>
      </w:r>
      <w:hyperlink r:id="rId15" w:tooltip="Екатерина I" w:history="1">
        <w:r w:rsidR="00F64A77" w:rsidRPr="001B7BD0">
          <w:rPr>
            <w:rFonts w:ascii="Arial" w:eastAsia="Times New Roman" w:hAnsi="Arial" w:cs="Arial"/>
            <w:sz w:val="21"/>
            <w:szCs w:val="21"/>
            <w:lang w:eastAsia="ru-RU"/>
          </w:rPr>
          <w:t>Екатерина I</w:t>
        </w:r>
      </w:hyperlink>
      <w:r w:rsidR="00F64A77" w:rsidRPr="00F64A77">
        <w:rPr>
          <w:rFonts w:ascii="Arial" w:eastAsia="Times New Roman" w:hAnsi="Arial" w:cs="Arial"/>
          <w:sz w:val="21"/>
          <w:szCs w:val="21"/>
          <w:lang w:eastAsia="ru-RU"/>
        </w:rPr>
        <w:t> постановила, что жалование отныне будет выплачиваться только президентам коллегий (министрам), «а приказным людям не давать, а довольствоваться им от дела по прежнему обыкновению от челобитчиков, кто что даст по своей воле, понеже и наперёд того им жалованья не бывало, а пропитание и без жалованья имели»</w:t>
      </w:r>
      <w:hyperlink r:id="rId16" w:anchor="cite_note-7" w:history="1"/>
      <w:r w:rsidR="00F64A77" w:rsidRPr="00F64A77">
        <w:rPr>
          <w:rFonts w:ascii="Arial" w:eastAsia="Times New Roman" w:hAnsi="Arial" w:cs="Arial"/>
          <w:sz w:val="21"/>
          <w:szCs w:val="21"/>
          <w:lang w:eastAsia="ru-RU"/>
        </w:rPr>
        <w:t>. Систематическая борьба с взяточничеством возобновилась только столетие спустя — при </w:t>
      </w:r>
      <w:hyperlink r:id="rId17" w:tooltip="Николай I" w:history="1">
        <w:r w:rsidR="00F64A77" w:rsidRPr="001B7BD0">
          <w:rPr>
            <w:rFonts w:ascii="Arial" w:eastAsia="Times New Roman" w:hAnsi="Arial" w:cs="Arial"/>
            <w:sz w:val="21"/>
            <w:szCs w:val="21"/>
            <w:lang w:eastAsia="ru-RU"/>
          </w:rPr>
          <w:t>Николае I</w:t>
        </w:r>
      </w:hyperlink>
      <w:r w:rsidR="00F64A77" w:rsidRPr="00F64A77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F66A54" w:rsidRPr="001B7BD0" w:rsidRDefault="00F64A77" w:rsidP="00F66A5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64A77">
        <w:rPr>
          <w:rFonts w:ascii="Arial" w:eastAsia="Times New Roman" w:hAnsi="Arial" w:cs="Arial"/>
          <w:sz w:val="21"/>
          <w:szCs w:val="21"/>
          <w:lang w:eastAsia="ru-RU"/>
        </w:rPr>
        <w:t>В русском уголовном законодательстве XIX века взяточничество различалось по тому, происходило ли получение неправомерных преимуществ за совершение законных действий («</w:t>
      </w:r>
      <w:r w:rsidRPr="00F64A77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мздоимство</w:t>
      </w:r>
      <w:r w:rsidRPr="00F64A77">
        <w:rPr>
          <w:rFonts w:ascii="Arial" w:eastAsia="Times New Roman" w:hAnsi="Arial" w:cs="Arial"/>
          <w:sz w:val="21"/>
          <w:szCs w:val="21"/>
          <w:lang w:eastAsia="ru-RU"/>
        </w:rPr>
        <w:t>») или незаконных действий («</w:t>
      </w:r>
      <w:r w:rsidRPr="00F64A77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лихоимство</w:t>
      </w:r>
      <w:r w:rsidRPr="00F64A77">
        <w:rPr>
          <w:rFonts w:ascii="Arial" w:eastAsia="Times New Roman" w:hAnsi="Arial" w:cs="Arial"/>
          <w:sz w:val="21"/>
          <w:szCs w:val="21"/>
          <w:lang w:eastAsia="ru-RU"/>
        </w:rPr>
        <w:t xml:space="preserve">»). Наказание за последнее было существенно более суровым. </w:t>
      </w:r>
    </w:p>
    <w:p w:rsidR="00F64A77" w:rsidRPr="00F64A77" w:rsidRDefault="00F64A77" w:rsidP="00F66A5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64A77">
        <w:rPr>
          <w:rFonts w:ascii="Arial" w:eastAsia="Times New Roman" w:hAnsi="Arial" w:cs="Arial"/>
          <w:sz w:val="21"/>
          <w:szCs w:val="21"/>
          <w:lang w:eastAsia="ru-RU"/>
        </w:rPr>
        <w:t>В уголовном праве </w:t>
      </w:r>
      <w:hyperlink r:id="rId18" w:tooltip="СССР" w:history="1">
        <w:r w:rsidRPr="001B7BD0">
          <w:rPr>
            <w:rFonts w:ascii="Arial" w:eastAsia="Times New Roman" w:hAnsi="Arial" w:cs="Arial"/>
            <w:sz w:val="21"/>
            <w:szCs w:val="21"/>
            <w:lang w:eastAsia="ru-RU"/>
          </w:rPr>
          <w:t>СССР</w:t>
        </w:r>
      </w:hyperlink>
      <w:r w:rsidRPr="00F64A77">
        <w:rPr>
          <w:rFonts w:ascii="Arial" w:eastAsia="Times New Roman" w:hAnsi="Arial" w:cs="Arial"/>
          <w:sz w:val="21"/>
          <w:szCs w:val="21"/>
          <w:lang w:eastAsia="ru-RU"/>
        </w:rPr>
        <w:t> под взяточничеством понимались три вида </w:t>
      </w:r>
      <w:hyperlink r:id="rId19" w:tooltip="Преступление" w:history="1">
        <w:r w:rsidRPr="001B7BD0">
          <w:rPr>
            <w:rFonts w:ascii="Arial" w:eastAsia="Times New Roman" w:hAnsi="Arial" w:cs="Arial"/>
            <w:sz w:val="21"/>
            <w:szCs w:val="21"/>
            <w:lang w:eastAsia="ru-RU"/>
          </w:rPr>
          <w:t>преступлений</w:t>
        </w:r>
      </w:hyperlink>
      <w:r w:rsidRPr="00F64A77">
        <w:rPr>
          <w:rFonts w:ascii="Arial" w:eastAsia="Times New Roman" w:hAnsi="Arial" w:cs="Arial"/>
          <w:sz w:val="21"/>
          <w:szCs w:val="21"/>
          <w:lang w:eastAsia="ru-RU"/>
        </w:rPr>
        <w:t>:</w:t>
      </w:r>
      <w:r w:rsidR="00F66A54" w:rsidRPr="001B7BD0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F64A77">
        <w:rPr>
          <w:rFonts w:ascii="Arial" w:eastAsia="Times New Roman" w:hAnsi="Arial" w:cs="Arial"/>
          <w:sz w:val="21"/>
          <w:szCs w:val="21"/>
          <w:lang w:eastAsia="ru-RU"/>
        </w:rPr>
        <w:t>дача взятки (подкуп)</w:t>
      </w:r>
      <w:r w:rsidR="00F66A54" w:rsidRPr="001B7BD0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r w:rsidRPr="00F64A77">
        <w:rPr>
          <w:rFonts w:ascii="Arial" w:eastAsia="Times New Roman" w:hAnsi="Arial" w:cs="Arial"/>
          <w:sz w:val="21"/>
          <w:szCs w:val="21"/>
          <w:lang w:eastAsia="ru-RU"/>
        </w:rPr>
        <w:t>получение взятки</w:t>
      </w:r>
      <w:r w:rsidR="00F66A54" w:rsidRPr="001B7BD0">
        <w:rPr>
          <w:rFonts w:ascii="Arial" w:eastAsia="Times New Roman" w:hAnsi="Arial" w:cs="Arial"/>
          <w:sz w:val="21"/>
          <w:szCs w:val="21"/>
          <w:lang w:eastAsia="ru-RU"/>
        </w:rPr>
        <w:t xml:space="preserve"> и </w:t>
      </w:r>
      <w:r w:rsidRPr="00F64A77">
        <w:rPr>
          <w:rFonts w:ascii="Arial" w:eastAsia="Times New Roman" w:hAnsi="Arial" w:cs="Arial"/>
          <w:sz w:val="21"/>
          <w:szCs w:val="21"/>
          <w:lang w:eastAsia="ru-RU"/>
        </w:rPr>
        <w:t>посредничество в передаче взятки.</w:t>
      </w:r>
    </w:p>
    <w:p w:rsidR="00F64A77" w:rsidRPr="001B7BD0" w:rsidRDefault="004035E3" w:rsidP="00F64A77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4035E3">
        <w:rPr>
          <w:rFonts w:ascii="Arial" w:hAnsi="Arial" w:cs="Arial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18D807" wp14:editId="31242D9B">
            <wp:simplePos x="0" y="0"/>
            <wp:positionH relativeFrom="column">
              <wp:posOffset>4439920</wp:posOffset>
            </wp:positionH>
            <wp:positionV relativeFrom="paragraph">
              <wp:posOffset>607060</wp:posOffset>
            </wp:positionV>
            <wp:extent cx="2550795" cy="1704975"/>
            <wp:effectExtent l="0" t="0" r="1905" b="9525"/>
            <wp:wrapSquare wrapText="bothSides"/>
            <wp:docPr id="2" name="Рисунок 2" descr="D:\domnina\stol\КОРРУПЦИЯ\на стенд\157247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mnina\stol\КОРРУПЦИЯ\на стенд\157247_b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A77" w:rsidRPr="001B7BD0">
        <w:rPr>
          <w:rFonts w:ascii="Arial" w:hAnsi="Arial" w:cs="Arial"/>
          <w:shd w:val="clear" w:color="auto" w:fill="FFFFFF"/>
        </w:rPr>
        <w:t xml:space="preserve">Передача и прием взятки в российском законодательстве являются противозаконными и караются в соответствии с Уголовным кодексом. </w:t>
      </w:r>
      <w:r w:rsidR="00F64A77" w:rsidRPr="001B7BD0">
        <w:rPr>
          <w:rFonts w:ascii="Arial" w:hAnsi="Arial" w:cs="Arial"/>
          <w:sz w:val="21"/>
          <w:szCs w:val="21"/>
          <w:shd w:val="clear" w:color="auto" w:fill="FFFFFF"/>
        </w:rPr>
        <w:t>В </w:t>
      </w:r>
      <w:hyperlink r:id="rId21" w:tooltip="Уголовный кодекс Российской Федерации" w:history="1">
        <w:r w:rsidR="00F64A77" w:rsidRPr="001B7BD0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Уголовном кодексе Российской Федерации</w:t>
        </w:r>
      </w:hyperlink>
      <w:r w:rsidR="00F64A77" w:rsidRPr="001B7BD0">
        <w:rPr>
          <w:rFonts w:ascii="Arial" w:hAnsi="Arial" w:cs="Arial"/>
          <w:sz w:val="21"/>
          <w:szCs w:val="21"/>
          <w:shd w:val="clear" w:color="auto" w:fill="FFFFFF"/>
        </w:rPr>
        <w:t> предусмотрено несколько составов преступлений, связанных со взяточничеством:</w:t>
      </w:r>
    </w:p>
    <w:p w:rsidR="00F64A77" w:rsidRPr="001B7BD0" w:rsidRDefault="00F64A77" w:rsidP="00F64A7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1B7BD0">
        <w:rPr>
          <w:rFonts w:ascii="Arial" w:hAnsi="Arial" w:cs="Arial"/>
          <w:sz w:val="21"/>
          <w:szCs w:val="21"/>
          <w:shd w:val="clear" w:color="auto" w:fill="FFFFFF"/>
        </w:rPr>
        <w:t xml:space="preserve">это получение взятки (ст. 290 УК России), </w:t>
      </w:r>
    </w:p>
    <w:p w:rsidR="00F64A77" w:rsidRPr="001B7BD0" w:rsidRDefault="00F64A77" w:rsidP="00F64A7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1B7BD0">
        <w:rPr>
          <w:rFonts w:ascii="Arial" w:hAnsi="Arial" w:cs="Arial"/>
          <w:sz w:val="21"/>
          <w:szCs w:val="21"/>
          <w:shd w:val="clear" w:color="auto" w:fill="FFFFFF"/>
        </w:rPr>
        <w:t xml:space="preserve">дача взятки (ст. 291 УК России), </w:t>
      </w:r>
    </w:p>
    <w:p w:rsidR="00F64A77" w:rsidRPr="001B7BD0" w:rsidRDefault="00F64A77" w:rsidP="00255EAA">
      <w:pPr>
        <w:pStyle w:val="a5"/>
        <w:numPr>
          <w:ilvl w:val="0"/>
          <w:numId w:val="2"/>
        </w:numPr>
        <w:spacing w:after="0" w:line="240" w:lineRule="auto"/>
        <w:jc w:val="both"/>
      </w:pPr>
      <w:r w:rsidRPr="001B7BD0">
        <w:rPr>
          <w:rFonts w:ascii="Arial" w:hAnsi="Arial" w:cs="Arial"/>
          <w:sz w:val="21"/>
          <w:szCs w:val="21"/>
          <w:shd w:val="clear" w:color="auto" w:fill="FFFFFF"/>
        </w:rPr>
        <w:t>посредничество при взяточничестве (ст. 291.1 УК России)</w:t>
      </w:r>
    </w:p>
    <w:p w:rsidR="00DC52D0" w:rsidRDefault="00DC52D0" w:rsidP="00DC52D0">
      <w:pPr>
        <w:spacing w:after="0" w:line="240" w:lineRule="auto"/>
        <w:jc w:val="both"/>
      </w:pPr>
    </w:p>
    <w:p w:rsidR="00DC52D0" w:rsidRPr="001B7BD0" w:rsidRDefault="00DC52D0" w:rsidP="00DC52D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70C0"/>
          <w:sz w:val="28"/>
          <w:szCs w:val="28"/>
        </w:rPr>
      </w:pPr>
      <w:r w:rsidRPr="001B7BD0">
        <w:rPr>
          <w:rFonts w:ascii="Arial" w:hAnsi="Arial" w:cs="Arial"/>
          <w:b/>
          <w:color w:val="0070C0"/>
          <w:sz w:val="28"/>
          <w:szCs w:val="28"/>
        </w:rPr>
        <w:t>О Подарках</w:t>
      </w:r>
    </w:p>
    <w:p w:rsidR="00DC52D0" w:rsidRPr="00DC52D0" w:rsidRDefault="00DC52D0" w:rsidP="00DC5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52D0">
        <w:rPr>
          <w:rFonts w:ascii="Arial" w:hAnsi="Arial" w:cs="Arial"/>
        </w:rPr>
        <w:t xml:space="preserve">В настоящее время в силу </w:t>
      </w:r>
      <w:hyperlink r:id="rId22" w:history="1">
        <w:r w:rsidRPr="00DC52D0">
          <w:rPr>
            <w:rFonts w:ascii="Arial" w:hAnsi="Arial" w:cs="Arial"/>
          </w:rPr>
          <w:t>ст. 575</w:t>
        </w:r>
      </w:hyperlink>
      <w:r w:rsidRPr="00DC52D0">
        <w:rPr>
          <w:rFonts w:ascii="Arial" w:hAnsi="Arial" w:cs="Arial"/>
        </w:rPr>
        <w:t xml:space="preserve"> ГК РФ запрещается принимать подарки стоимостью более 3 тыс. руб. работникам:</w:t>
      </w:r>
      <w:r>
        <w:rPr>
          <w:rFonts w:ascii="Arial" w:hAnsi="Arial" w:cs="Arial"/>
        </w:rPr>
        <w:t xml:space="preserve"> </w:t>
      </w:r>
      <w:r w:rsidRPr="00DC52D0">
        <w:rPr>
          <w:rFonts w:ascii="Arial" w:hAnsi="Arial" w:cs="Arial"/>
        </w:rPr>
        <w:t>образовательных организаций;</w:t>
      </w:r>
      <w:r>
        <w:rPr>
          <w:rFonts w:ascii="Arial" w:hAnsi="Arial" w:cs="Arial"/>
        </w:rPr>
        <w:t xml:space="preserve"> </w:t>
      </w:r>
      <w:r w:rsidRPr="00DC52D0">
        <w:rPr>
          <w:rFonts w:ascii="Arial" w:hAnsi="Arial" w:cs="Arial"/>
        </w:rPr>
        <w:t>медицинских организаций;</w:t>
      </w:r>
      <w:r>
        <w:rPr>
          <w:rFonts w:ascii="Arial" w:hAnsi="Arial" w:cs="Arial"/>
        </w:rPr>
        <w:t xml:space="preserve"> </w:t>
      </w:r>
      <w:r w:rsidRPr="00DC52D0">
        <w:rPr>
          <w:rFonts w:ascii="Arial" w:hAnsi="Arial" w:cs="Arial"/>
        </w:rPr>
        <w:t>организаций, оказывающих социальные услуги;</w:t>
      </w:r>
      <w:r>
        <w:rPr>
          <w:rFonts w:ascii="Arial" w:hAnsi="Arial" w:cs="Arial"/>
        </w:rPr>
        <w:t xml:space="preserve"> </w:t>
      </w:r>
      <w:r w:rsidRPr="00DC52D0">
        <w:rPr>
          <w:rFonts w:ascii="Arial" w:hAnsi="Arial" w:cs="Arial"/>
        </w:rPr>
        <w:t>иных аналогичных организаций.</w:t>
      </w:r>
    </w:p>
    <w:p w:rsidR="00DC52D0" w:rsidRDefault="00DC52D0" w:rsidP="00DC5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Подарок и взятка различаются по мотиву и характеру получения:</w:t>
      </w:r>
    </w:p>
    <w:p w:rsidR="00DC52D0" w:rsidRDefault="00DC52D0" w:rsidP="00DC5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Мотивом для дачи взятки является корыстный умысел в виде достижения правовой, имущественной, коммерческой, иной цели, для получения выгоды, обогащения либо освобождения от ответственности. У взяткополучателя при этом присутствует мотив обогащения.</w:t>
      </w:r>
    </w:p>
    <w:p w:rsidR="00DC52D0" w:rsidRDefault="00DC52D0" w:rsidP="00DC5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Мотивами для вручения подарка являются уважение, симпатия, благодарность, чувство морального долга дарителя перед одаряемым. В связи с получением подарка у одаряемого не возникает встречных обязательств. По поводу вручения подарка не должно быть никакой предварительной договоренности между дарителем и одаряемым</w:t>
      </w:r>
    </w:p>
    <w:p w:rsidR="00F64A77" w:rsidRDefault="00F64A77" w:rsidP="00F66A54">
      <w:pPr>
        <w:spacing w:after="0" w:line="240" w:lineRule="auto"/>
        <w:jc w:val="both"/>
        <w:rPr>
          <w:rFonts w:ascii="Arial" w:hAnsi="Arial" w:cs="Arial"/>
          <w:i/>
          <w:color w:val="0070C0"/>
          <w:shd w:val="clear" w:color="auto" w:fill="FFFFFF"/>
        </w:rPr>
      </w:pPr>
      <w:r w:rsidRPr="001B7BD0">
        <w:rPr>
          <w:rFonts w:ascii="Arial" w:hAnsi="Arial" w:cs="Arial"/>
          <w:b/>
          <w:color w:val="FF0000"/>
          <w:sz w:val="26"/>
          <w:szCs w:val="26"/>
          <w:shd w:val="clear" w:color="auto" w:fill="FFFFFF"/>
        </w:rPr>
        <w:t>ПОМНИТЕ!</w:t>
      </w:r>
      <w:r>
        <w:rPr>
          <w:rFonts w:ascii="Arial" w:hAnsi="Arial" w:cs="Arial"/>
          <w:color w:val="3B4256"/>
          <w:sz w:val="26"/>
          <w:szCs w:val="26"/>
          <w:shd w:val="clear" w:color="auto" w:fill="FFFFFF"/>
        </w:rPr>
        <w:t> </w:t>
      </w:r>
      <w:r w:rsidRPr="004035E3">
        <w:rPr>
          <w:rFonts w:ascii="Arial" w:hAnsi="Arial" w:cs="Arial"/>
          <w:b/>
          <w:i/>
          <w:color w:val="833C0B" w:themeColor="accent2" w:themeShade="80"/>
          <w:shd w:val="clear" w:color="auto" w:fill="FFFFFF"/>
        </w:rPr>
        <w:t xml:space="preserve"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должностных лиц, поскольку позволяет усомниться в их объективности и добросовестности, наносит ущерб репутации </w:t>
      </w:r>
      <w:r w:rsidR="001055A3" w:rsidRPr="004035E3">
        <w:rPr>
          <w:rFonts w:ascii="Arial" w:hAnsi="Arial" w:cs="Arial"/>
          <w:b/>
          <w:i/>
          <w:color w:val="833C0B" w:themeColor="accent2" w:themeShade="80"/>
          <w:shd w:val="clear" w:color="auto" w:fill="FFFFFF"/>
        </w:rPr>
        <w:t xml:space="preserve">организации </w:t>
      </w:r>
      <w:r w:rsidRPr="004035E3">
        <w:rPr>
          <w:rFonts w:ascii="Arial" w:hAnsi="Arial" w:cs="Arial"/>
          <w:b/>
          <w:i/>
          <w:color w:val="833C0B" w:themeColor="accent2" w:themeShade="80"/>
          <w:shd w:val="clear" w:color="auto" w:fill="FFFFFF"/>
        </w:rPr>
        <w:t>в целом</w:t>
      </w:r>
      <w:r w:rsidRPr="005467B1">
        <w:rPr>
          <w:rFonts w:ascii="Arial" w:hAnsi="Arial" w:cs="Arial"/>
          <w:i/>
          <w:color w:val="833C0B" w:themeColor="accent2" w:themeShade="80"/>
          <w:shd w:val="clear" w:color="auto" w:fill="FFFFFF"/>
        </w:rPr>
        <w:t>.</w:t>
      </w:r>
      <w:bookmarkStart w:id="0" w:name="_GoBack"/>
      <w:bookmarkEnd w:id="0"/>
    </w:p>
    <w:sectPr w:rsidR="00F64A77" w:rsidSect="00F66A54">
      <w:pgSz w:w="11906" w:h="16838"/>
      <w:pgMar w:top="737" w:right="510" w:bottom="73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D7C42"/>
    <w:multiLevelType w:val="hybridMultilevel"/>
    <w:tmpl w:val="99968E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B6E22"/>
    <w:multiLevelType w:val="multilevel"/>
    <w:tmpl w:val="BFDC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99"/>
    <w:rsid w:val="00023BB5"/>
    <w:rsid w:val="000556FF"/>
    <w:rsid w:val="000A694B"/>
    <w:rsid w:val="001055A3"/>
    <w:rsid w:val="001B7BD0"/>
    <w:rsid w:val="004035E3"/>
    <w:rsid w:val="005467B1"/>
    <w:rsid w:val="00B52999"/>
    <w:rsid w:val="00DC52D0"/>
    <w:rsid w:val="00EB7B2A"/>
    <w:rsid w:val="00F64A77"/>
    <w:rsid w:val="00F6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D86BC-D7E6-45B1-A701-A46C58F1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4A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4A7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64A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F64A77"/>
  </w:style>
  <w:style w:type="character" w:customStyle="1" w:styleId="mw-editsection">
    <w:name w:val="mw-editsection"/>
    <w:basedOn w:val="a0"/>
    <w:rsid w:val="00F64A77"/>
  </w:style>
  <w:style w:type="character" w:customStyle="1" w:styleId="mw-editsection-bracket">
    <w:name w:val="mw-editsection-bracket"/>
    <w:basedOn w:val="a0"/>
    <w:rsid w:val="00F64A77"/>
  </w:style>
  <w:style w:type="character" w:customStyle="1" w:styleId="mw-editsection-divider">
    <w:name w:val="mw-editsection-divider"/>
    <w:basedOn w:val="a0"/>
    <w:rsid w:val="00F64A77"/>
  </w:style>
  <w:style w:type="paragraph" w:styleId="a4">
    <w:name w:val="Normal (Web)"/>
    <w:basedOn w:val="a"/>
    <w:uiPriority w:val="99"/>
    <w:semiHidden/>
    <w:unhideWhenUsed/>
    <w:rsid w:val="00F6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4A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7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7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1%81%D0%BB%D1%83%D0%B3%D0%B0" TargetMode="External"/><Relationship Id="rId13" Type="http://schemas.openxmlformats.org/officeDocument/2006/relationships/hyperlink" Target="https://ru.wikipedia.org/wiki/%D0%9D%D0%B0%D0%BB%D0%BE%D0%B3" TargetMode="External"/><Relationship Id="rId18" Type="http://schemas.openxmlformats.org/officeDocument/2006/relationships/hyperlink" Target="https://ru.wikipedia.org/wiki/%D0%A1%D0%A1%D0%A1%D0%A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3%D0%B3%D0%BE%D0%BB%D0%BE%D0%B2%D0%BD%D1%8B%D0%B9_%D0%BA%D0%BE%D0%B4%D0%B5%D0%BA%D1%81_%D0%A0%D0%BE%D1%81%D1%81%D0%B8%D0%B9%D1%81%D0%BA%D0%BE%D0%B9_%D0%A4%D0%B5%D0%B4%D0%B5%D1%80%D0%B0%D1%86%D0%B8%D0%B8" TargetMode="External"/><Relationship Id="rId7" Type="http://schemas.openxmlformats.org/officeDocument/2006/relationships/hyperlink" Target="https://ru.wikipedia.org/wiki/%D0%94%D0%B5%D0%BD%D1%8C%D0%B3%D0%B8" TargetMode="External"/><Relationship Id="rId12" Type="http://schemas.openxmlformats.org/officeDocument/2006/relationships/hyperlink" Target="https://ru.wikipedia.org/wiki/%D0%9E%D1%81%D0%BC%D0%B0%D0%BD%D1%81%D0%BA%D0%B0%D1%8F_%D0%B8%D0%BC%D0%BF%D0%B5%D1%80%D0%B8%D1%8F" TargetMode="External"/><Relationship Id="rId17" Type="http://schemas.openxmlformats.org/officeDocument/2006/relationships/hyperlink" Target="https://ru.wikipedia.org/wiki/%D0%9D%D0%B8%D0%BA%D0%BE%D0%BB%D0%B0%D0%B9_I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0%B7%D1%8F%D1%82%D0%BA%D0%B0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0%BE%D0%BB%D0%B6%D0%BD%D0%BE%D1%81%D1%82%D0%BD%D0%BE%D0%B5_%D0%BB%D0%B8%D1%86%D0%BE" TargetMode="External"/><Relationship Id="rId11" Type="http://schemas.openxmlformats.org/officeDocument/2006/relationships/hyperlink" Target="https://ru.wikipedia.org/wiki/%D0%93%D0%BE%D1%81%D1%83%D0%B4%D0%B0%D1%80%D0%B5%D0%B2%D1%8B_%D0%BB%D1%8E%D0%B4%D0%B8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5%D0%BA%D0%B0%D1%82%D0%B5%D1%80%D0%B8%D0%BD%D0%B0_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F%D0%BE%D1%81%D1%83%D0%BB" TargetMode="External"/><Relationship Id="rId19" Type="http://schemas.openxmlformats.org/officeDocument/2006/relationships/hyperlink" Target="https://ru.wikipedia.org/wiki/%D0%9F%D1%80%D0%B5%D1%81%D1%82%D1%83%D0%BF%D0%BB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1%83%D1%81%D1%81%D0%BA%D0%BE%D0%B5_%D1%86%D0%B0%D1%80%D1%81%D1%82%D0%B2%D0%BE" TargetMode="External"/><Relationship Id="rId14" Type="http://schemas.openxmlformats.org/officeDocument/2006/relationships/hyperlink" Target="https://ru.wikipedia.org/wiki/%D0%9F%D1%91%D1%82%D1%80_I" TargetMode="External"/><Relationship Id="rId22" Type="http://schemas.openxmlformats.org/officeDocument/2006/relationships/hyperlink" Target="consultantplus://offline/ref=560A01B0C80B2B4FA4A1221C387C5F4B1648667925D4795773885E972C38D4DE7F7A2FA6D4B9C01375694AE5C82E6714D6F6B5F964R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Домнина Ольга Владимировна</dc:creator>
  <cp:keywords/>
  <dc:description/>
  <cp:lastModifiedBy>Домнина Ольга Владимировна</cp:lastModifiedBy>
  <cp:revision>6</cp:revision>
  <cp:lastPrinted>2021-06-01T05:40:00Z</cp:lastPrinted>
  <dcterms:created xsi:type="dcterms:W3CDTF">2021-05-31T14:30:00Z</dcterms:created>
  <dcterms:modified xsi:type="dcterms:W3CDTF">2021-06-01T06:36:00Z</dcterms:modified>
</cp:coreProperties>
</file>